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C97B5" w14:textId="7742E72B" w:rsidR="00804A13" w:rsidRPr="0030139C" w:rsidRDefault="001B66EE" w:rsidP="001B66EE">
      <w:pPr>
        <w:autoSpaceDE w:val="0"/>
        <w:autoSpaceDN w:val="0"/>
        <w:adjustRightInd w:val="0"/>
        <w:rPr>
          <w:rFonts w:ascii="Times New Roman" w:hAnsi="Times New Roman" w:cs="Times New Roman"/>
          <w:b/>
        </w:rPr>
      </w:pPr>
      <w:r w:rsidRPr="0030139C">
        <w:rPr>
          <w:rFonts w:ascii="Times New Roman" w:hAnsi="Times New Roman" w:cs="Times New Roman"/>
          <w:b/>
        </w:rPr>
        <w:t>Critical points in the applications of geometrical optics to numerical simulation of lightning-related spectrograms</w:t>
      </w:r>
    </w:p>
    <w:p w14:paraId="0064F544" w14:textId="77777777" w:rsidR="00780FAB" w:rsidRPr="0030139C" w:rsidRDefault="00780FAB">
      <w:pPr>
        <w:rPr>
          <w:rFonts w:ascii="Times New Roman" w:hAnsi="Times New Roman" w:cs="Times New Roman"/>
          <w:b/>
        </w:rPr>
      </w:pPr>
    </w:p>
    <w:p w14:paraId="3C21E481" w14:textId="77777777" w:rsidR="00780FAB" w:rsidRPr="0030139C" w:rsidRDefault="00780FAB">
      <w:pPr>
        <w:rPr>
          <w:rFonts w:ascii="Times New Roman" w:hAnsi="Times New Roman" w:cs="Times New Roman"/>
        </w:rPr>
      </w:pPr>
      <w:r w:rsidRPr="0030139C">
        <w:rPr>
          <w:rFonts w:ascii="Times New Roman" w:hAnsi="Times New Roman" w:cs="Times New Roman"/>
        </w:rPr>
        <w:t>D.R. Shklyar</w:t>
      </w:r>
    </w:p>
    <w:p w14:paraId="7B48088B" w14:textId="77777777" w:rsidR="00780FAB" w:rsidRPr="0030139C" w:rsidRDefault="00780FAB">
      <w:pPr>
        <w:rPr>
          <w:rFonts w:ascii="Times New Roman" w:hAnsi="Times New Roman" w:cs="Times New Roman"/>
        </w:rPr>
      </w:pPr>
    </w:p>
    <w:p w14:paraId="157CC95D" w14:textId="77777777" w:rsidR="00780FAB" w:rsidRPr="0030139C" w:rsidRDefault="00780FAB">
      <w:pPr>
        <w:rPr>
          <w:rFonts w:ascii="Times New Roman" w:hAnsi="Times New Roman" w:cs="Times New Roman"/>
        </w:rPr>
      </w:pPr>
      <w:r w:rsidRPr="0030139C">
        <w:rPr>
          <w:rFonts w:ascii="Times New Roman" w:hAnsi="Times New Roman" w:cs="Times New Roman"/>
        </w:rPr>
        <w:t>Space Research Institute of RAS, Moscow, Russia</w:t>
      </w:r>
    </w:p>
    <w:p w14:paraId="6F45BAD7" w14:textId="77777777" w:rsidR="00780FAB" w:rsidRPr="0030139C" w:rsidRDefault="00780FAB">
      <w:pPr>
        <w:rPr>
          <w:rFonts w:ascii="Times New Roman" w:hAnsi="Times New Roman" w:cs="Times New Roman"/>
        </w:rPr>
      </w:pPr>
    </w:p>
    <w:p w14:paraId="4F47271A" w14:textId="154E4567" w:rsidR="001B66EE" w:rsidRPr="0030139C" w:rsidRDefault="001B66EE" w:rsidP="001B66EE">
      <w:pPr>
        <w:autoSpaceDE w:val="0"/>
        <w:autoSpaceDN w:val="0"/>
        <w:adjustRightInd w:val="0"/>
        <w:jc w:val="both"/>
        <w:rPr>
          <w:rFonts w:ascii="Times New Roman" w:hAnsi="Times New Roman" w:cs="Times New Roman"/>
          <w:color w:val="000000"/>
        </w:rPr>
      </w:pPr>
      <w:r w:rsidRPr="0030139C">
        <w:rPr>
          <w:rFonts w:ascii="Times New Roman" w:hAnsi="Times New Roman" w:cs="Times New Roman"/>
          <w:color w:val="000000"/>
        </w:rPr>
        <w:t xml:space="preserve">Numerical modeling of VLF spectrograms related to lightning-induced emissions is </w:t>
      </w:r>
      <w:r w:rsidR="00745952" w:rsidRPr="0030139C">
        <w:rPr>
          <w:rFonts w:ascii="Times New Roman" w:hAnsi="Times New Roman" w:cs="Times New Roman"/>
          <w:color w:val="000000"/>
        </w:rPr>
        <w:t xml:space="preserve">an efficient tool  </w:t>
      </w:r>
      <w:r w:rsidRPr="0030139C">
        <w:rPr>
          <w:rFonts w:ascii="Times New Roman" w:hAnsi="Times New Roman" w:cs="Times New Roman"/>
          <w:color w:val="000000"/>
        </w:rPr>
        <w:t xml:space="preserve"> in studies of whistlers in the magnetosphere. However, most of work in this direction is based on intuitive ideas, but not on </w:t>
      </w:r>
      <w:r w:rsidR="00745952" w:rsidRPr="0030139C">
        <w:rPr>
          <w:rFonts w:ascii="Times New Roman" w:hAnsi="Times New Roman" w:cs="Times New Roman"/>
          <w:color w:val="000000"/>
        </w:rPr>
        <w:t>well-grounded</w:t>
      </w:r>
      <w:r w:rsidRPr="0030139C">
        <w:rPr>
          <w:rFonts w:ascii="Times New Roman" w:hAnsi="Times New Roman" w:cs="Times New Roman"/>
          <w:color w:val="000000"/>
        </w:rPr>
        <w:t xml:space="preserve"> concepts. This limits the numerically simulated spectrograms to an interesting and useful illustration of real ones. To make numerical simulation a powerful and reliable </w:t>
      </w:r>
      <w:r w:rsidR="00745952" w:rsidRPr="0030139C">
        <w:rPr>
          <w:rFonts w:ascii="Times New Roman" w:hAnsi="Times New Roman" w:cs="Times New Roman"/>
          <w:color w:val="000000"/>
        </w:rPr>
        <w:t>implement</w:t>
      </w:r>
      <w:r w:rsidRPr="0030139C">
        <w:rPr>
          <w:rFonts w:ascii="Times New Roman" w:hAnsi="Times New Roman" w:cs="Times New Roman"/>
          <w:color w:val="000000"/>
        </w:rPr>
        <w:t xml:space="preserve"> in the ionospheric and magnetospheric studies, the approach to numerical modeling should be well substantiated, and the frame of validity of the method should be clarified. The points that need to be explicated include: the wave field expansion into geometrical optics wave packets in an inhomogeneous medium; construction of frequency-time plots on spectrograms, </w:t>
      </w:r>
      <w:r w:rsidR="00745952" w:rsidRPr="0030139C">
        <w:rPr>
          <w:rFonts w:ascii="Times New Roman" w:hAnsi="Times New Roman" w:cs="Times New Roman"/>
          <w:color w:val="000000"/>
        </w:rPr>
        <w:t>i.e.,</w:t>
      </w:r>
      <w:r w:rsidRPr="0030139C">
        <w:rPr>
          <w:rFonts w:ascii="Times New Roman" w:hAnsi="Times New Roman" w:cs="Times New Roman"/>
          <w:color w:val="000000"/>
        </w:rPr>
        <w:t xml:space="preserve"> finite-width curves on which the spectral intensity differs from zero; and, finally, determining the time-dependent spectral amplitude as a function of frequency and time from the wave packet </w:t>
      </w:r>
      <w:r w:rsidR="007D380B">
        <w:rPr>
          <w:rFonts w:ascii="Times New Roman" w:hAnsi="Times New Roman" w:cs="Times New Roman"/>
          <w:color w:val="000000"/>
        </w:rPr>
        <w:t>energy density</w:t>
      </w:r>
      <w:r w:rsidRPr="0030139C">
        <w:rPr>
          <w:rFonts w:ascii="Times New Roman" w:hAnsi="Times New Roman" w:cs="Times New Roman"/>
          <w:color w:val="000000"/>
        </w:rPr>
        <w:t xml:space="preserve">, with the account of the evolution of the latter in space and time. These and related questions are discussed in this </w:t>
      </w:r>
      <w:r w:rsidR="0080357E" w:rsidRPr="0030139C">
        <w:rPr>
          <w:rFonts w:ascii="Times New Roman" w:hAnsi="Times New Roman" w:cs="Times New Roman"/>
          <w:color w:val="000000"/>
        </w:rPr>
        <w:t>report</w:t>
      </w:r>
      <w:r w:rsidRPr="0030139C">
        <w:rPr>
          <w:rFonts w:ascii="Times New Roman" w:hAnsi="Times New Roman" w:cs="Times New Roman"/>
          <w:color w:val="000000"/>
        </w:rPr>
        <w:t>. A special attention is pa</w:t>
      </w:r>
      <w:r w:rsidR="00745952" w:rsidRPr="0030139C">
        <w:rPr>
          <w:rFonts w:ascii="Times New Roman" w:hAnsi="Times New Roman" w:cs="Times New Roman"/>
          <w:color w:val="000000"/>
        </w:rPr>
        <w:t>i</w:t>
      </w:r>
      <w:r w:rsidRPr="0030139C">
        <w:rPr>
          <w:rFonts w:ascii="Times New Roman" w:hAnsi="Times New Roman" w:cs="Times New Roman"/>
          <w:color w:val="000000"/>
        </w:rPr>
        <w:t xml:space="preserve">d to the properties and the presentation of initial field, to the wave packet spreading </w:t>
      </w:r>
      <w:r w:rsidR="0080357E" w:rsidRPr="0030139C">
        <w:rPr>
          <w:rFonts w:ascii="Times New Roman" w:hAnsi="Times New Roman" w:cs="Times New Roman"/>
          <w:color w:val="000000"/>
        </w:rPr>
        <w:t>during</w:t>
      </w:r>
      <w:r w:rsidRPr="0030139C">
        <w:rPr>
          <w:rFonts w:ascii="Times New Roman" w:hAnsi="Times New Roman" w:cs="Times New Roman"/>
          <w:color w:val="000000"/>
        </w:rPr>
        <w:t xml:space="preserve"> propagation, and to the choice of finite width of the frequency bin on a spectrogram in relation to the characteristic time of spectrum evolution.</w:t>
      </w:r>
      <w:r w:rsidR="00B020C3" w:rsidRPr="0030139C">
        <w:rPr>
          <w:rFonts w:ascii="Times New Roman" w:hAnsi="Times New Roman" w:cs="Times New Roman"/>
          <w:color w:val="000000"/>
        </w:rPr>
        <w:t xml:space="preserve"> Since spectral intensity displayed in spectrograms is related to the amplitude of the </w:t>
      </w:r>
      <w:r w:rsidR="000E65C3" w:rsidRPr="0030139C">
        <w:rPr>
          <w:rFonts w:ascii="Times New Roman" w:hAnsi="Times New Roman" w:cs="Times New Roman"/>
          <w:color w:val="000000"/>
        </w:rPr>
        <w:t xml:space="preserve">wave electromagnetic field, while geometrical optics deals with the wave energy density, the relation between them is one of the key points in spectrogram modeling. While general expression </w:t>
      </w:r>
      <w:r w:rsidR="0037080D" w:rsidRPr="0030139C">
        <w:rPr>
          <w:rFonts w:ascii="Times New Roman" w:hAnsi="Times New Roman" w:cs="Times New Roman"/>
          <w:color w:val="000000"/>
        </w:rPr>
        <w:t>for</w:t>
      </w:r>
      <w:r w:rsidR="000E65C3" w:rsidRPr="0030139C">
        <w:rPr>
          <w:rFonts w:ascii="Times New Roman" w:hAnsi="Times New Roman" w:cs="Times New Roman"/>
          <w:color w:val="000000"/>
        </w:rPr>
        <w:t xml:space="preserve"> the wave energy density </w:t>
      </w:r>
      <m:oMath>
        <m:r>
          <w:rPr>
            <w:rFonts w:ascii="Cambria Math" w:hAnsi="Cambria Math" w:cs="Times New Roman"/>
          </w:rPr>
          <m:t>U</m:t>
        </m:r>
      </m:oMath>
      <w:r w:rsidR="0030139C" w:rsidRPr="0030139C">
        <w:rPr>
          <w:rFonts w:ascii="Times New Roman" w:hAnsi="Times New Roman" w:cs="Times New Roman"/>
          <w:color w:val="000000"/>
        </w:rPr>
        <w:t xml:space="preserve"> </w:t>
      </w:r>
      <w:r w:rsidR="000E65C3" w:rsidRPr="0030139C">
        <w:rPr>
          <w:rFonts w:ascii="Times New Roman" w:hAnsi="Times New Roman" w:cs="Times New Roman"/>
          <w:color w:val="000000"/>
        </w:rPr>
        <w:t xml:space="preserve">through the wave electric field amplitude and polarization coefficients is well known (e.g., </w:t>
      </w:r>
      <w:proofErr w:type="spellStart"/>
      <w:r w:rsidR="000E65C3" w:rsidRPr="0030139C">
        <w:rPr>
          <w:rFonts w:ascii="Times New Roman" w:hAnsi="Times New Roman" w:cs="Times New Roman"/>
          <w:i/>
          <w:iCs/>
          <w:color w:val="000000"/>
        </w:rPr>
        <w:t>Shafranov</w:t>
      </w:r>
      <w:proofErr w:type="spellEnd"/>
      <w:r w:rsidR="000E65C3" w:rsidRPr="0030139C">
        <w:rPr>
          <w:rFonts w:ascii="Times New Roman" w:hAnsi="Times New Roman" w:cs="Times New Roman"/>
          <w:color w:val="000000"/>
        </w:rPr>
        <w:t>, 196</w:t>
      </w:r>
      <w:r w:rsidR="007D59F6" w:rsidRPr="0030139C">
        <w:rPr>
          <w:rFonts w:ascii="Times New Roman" w:hAnsi="Times New Roman" w:cs="Times New Roman"/>
          <w:color w:val="000000"/>
        </w:rPr>
        <w:t>7</w:t>
      </w:r>
      <w:r w:rsidR="000E65C3" w:rsidRPr="0030139C">
        <w:rPr>
          <w:rFonts w:ascii="Times New Roman" w:hAnsi="Times New Roman" w:cs="Times New Roman"/>
          <w:color w:val="000000"/>
        </w:rPr>
        <w:t>)</w:t>
      </w:r>
      <w:r w:rsidR="0037080D" w:rsidRPr="0030139C">
        <w:rPr>
          <w:rFonts w:ascii="Times New Roman" w:hAnsi="Times New Roman" w:cs="Times New Roman"/>
          <w:color w:val="000000"/>
        </w:rPr>
        <w:t xml:space="preserve">, as well as its explicit expression for parallel propagating whistler-mode waves (e.g., </w:t>
      </w:r>
      <w:r w:rsidR="0037080D" w:rsidRPr="0030139C">
        <w:rPr>
          <w:rFonts w:ascii="Times New Roman" w:hAnsi="Times New Roman" w:cs="Times New Roman"/>
          <w:i/>
          <w:iCs/>
          <w:color w:val="000000"/>
        </w:rPr>
        <w:t>Trakhtengerts and Rycroft</w:t>
      </w:r>
      <w:r w:rsidR="0037080D" w:rsidRPr="0030139C">
        <w:rPr>
          <w:rFonts w:ascii="Times New Roman" w:hAnsi="Times New Roman" w:cs="Times New Roman"/>
          <w:color w:val="000000"/>
        </w:rPr>
        <w:t>, 2008), the corresponding expression for the case of oblique propagation seems to be missing in the literature.</w:t>
      </w:r>
      <w:r w:rsidR="00316654" w:rsidRPr="0030139C">
        <w:rPr>
          <w:rFonts w:ascii="Times New Roman" w:hAnsi="Times New Roman" w:cs="Times New Roman"/>
          <w:color w:val="000000"/>
        </w:rPr>
        <w:t xml:space="preserve"> Such an expression </w:t>
      </w:r>
      <w:r w:rsidR="0030139C" w:rsidRPr="0030139C">
        <w:rPr>
          <w:rFonts w:ascii="Times New Roman" w:hAnsi="Times New Roman" w:cs="Times New Roman"/>
          <w:color w:val="000000"/>
        </w:rPr>
        <w:t xml:space="preserve">which </w:t>
      </w:r>
      <w:r w:rsidR="00316654" w:rsidRPr="0030139C">
        <w:rPr>
          <w:rFonts w:ascii="Times New Roman" w:hAnsi="Times New Roman" w:cs="Times New Roman"/>
          <w:color w:val="000000"/>
        </w:rPr>
        <w:t>will be presented in the report</w:t>
      </w:r>
      <w:r w:rsidR="0030139C" w:rsidRPr="0030139C">
        <w:rPr>
          <w:rFonts w:ascii="Times New Roman" w:hAnsi="Times New Roman" w:cs="Times New Roman"/>
          <w:color w:val="000000"/>
        </w:rPr>
        <w:t xml:space="preserve"> for the first time reads:</w:t>
      </w:r>
    </w:p>
    <w:p w14:paraId="5545E1BA" w14:textId="74F17B6D" w:rsidR="0030139C" w:rsidRPr="0030139C" w:rsidRDefault="0030139C" w:rsidP="001B66EE">
      <w:pPr>
        <w:autoSpaceDE w:val="0"/>
        <w:autoSpaceDN w:val="0"/>
        <w:adjustRightInd w:val="0"/>
        <w:jc w:val="both"/>
        <w:rPr>
          <w:rFonts w:ascii="Times New Roman" w:hAnsi="Times New Roman" w:cs="Times New Roman"/>
          <w:color w:val="000000"/>
        </w:rPr>
      </w:pPr>
    </w:p>
    <w:p w14:paraId="2D9AC111" w14:textId="77777777" w:rsidR="0030139C" w:rsidRPr="0030139C" w:rsidRDefault="0030139C" w:rsidP="0030139C">
      <w:pPr>
        <w:rPr>
          <w:rFonts w:ascii="Times New Roman" w:hAnsi="Times New Roman" w:cs="Times New Roman"/>
        </w:rPr>
      </w:pPr>
      <m:oMathPara>
        <m:oMath>
          <m:r>
            <w:rPr>
              <w:rFonts w:ascii="Cambria Math" w:hAnsi="Cambria Math" w:cs="Times New Roman"/>
            </w:rPr>
            <m:t xml:space="preserve">U= </m:t>
          </m:r>
          <m:f>
            <m:fPr>
              <m:ctrlPr>
                <w:rPr>
                  <w:rFonts w:ascii="Cambria Math" w:eastAsiaTheme="minorHAnsi" w:hAnsi="Cambria Math" w:cs="Times New Roman"/>
                  <w:i/>
                </w:rPr>
              </m:ctrlPr>
            </m:fPr>
            <m:num>
              <m:sSup>
                <m:sSupPr>
                  <m:ctrlPr>
                    <w:rPr>
                      <w:rFonts w:ascii="Cambria Math" w:eastAsiaTheme="minorHAnsi" w:hAnsi="Cambria Math" w:cs="Times New Roman"/>
                      <w:i/>
                    </w:rPr>
                  </m:ctrlPr>
                </m:sSupPr>
                <m:e>
                  <m:d>
                    <m:dPr>
                      <m:begChr m:val="|"/>
                      <m:endChr m:val="|"/>
                      <m:ctrlPr>
                        <w:rPr>
                          <w:rFonts w:ascii="Cambria Math" w:hAnsi="Cambria Math" w:cs="Times New Roman"/>
                          <w:i/>
                        </w:rPr>
                      </m:ctrlPr>
                    </m:dPr>
                    <m:e>
                      <m:sSub>
                        <m:sSubPr>
                          <m:ctrlPr>
                            <w:rPr>
                              <w:rFonts w:ascii="Cambria Math" w:eastAsiaTheme="minorHAnsi" w:hAnsi="Cambria Math" w:cs="Times New Roman"/>
                              <w:i/>
                            </w:rPr>
                          </m:ctrlPr>
                        </m:sSubPr>
                        <m:e>
                          <m:r>
                            <w:rPr>
                              <w:rFonts w:ascii="Cambria Math" w:hAnsi="Cambria Math" w:cs="Times New Roman"/>
                            </w:rPr>
                            <m:t>E</m:t>
                          </m:r>
                        </m:e>
                        <m:sub>
                          <m:r>
                            <w:rPr>
                              <w:rFonts w:ascii="Cambria Math" w:hAnsi="Cambria Math" w:cs="Times New Roman"/>
                            </w:rPr>
                            <m:t>x</m:t>
                          </m:r>
                        </m:sub>
                      </m:sSub>
                    </m:e>
                  </m:d>
                </m:e>
                <m:sup>
                  <m:r>
                    <w:rPr>
                      <w:rFonts w:ascii="Cambria Math" w:hAnsi="Cambria Math" w:cs="Times New Roman"/>
                    </w:rPr>
                    <m:t>2</m:t>
                  </m:r>
                </m:sup>
              </m:sSup>
            </m:num>
            <m:den>
              <m:r>
                <w:rPr>
                  <w:rFonts w:ascii="Cambria Math" w:hAnsi="Cambria Math" w:cs="Times New Roman"/>
                </w:rPr>
                <m:t>8π</m:t>
              </m:r>
            </m:den>
          </m:f>
          <m:r>
            <w:rPr>
              <w:rFonts w:ascii="Cambria Math" w:hAnsi="Cambria Math" w:cs="Times New Roman"/>
            </w:rPr>
            <m:t xml:space="preserve">  </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ω</m:t>
                  </m:r>
                </m:e>
                <m:sub>
                  <m:r>
                    <w:rPr>
                      <w:rFonts w:ascii="Cambria Math" w:hAnsi="Cambria Math" w:cs="Times New Roman"/>
                    </w:rPr>
                    <m:t>p</m:t>
                  </m:r>
                </m:sub>
                <m:sup>
                  <m:r>
                    <w:rPr>
                      <w:rFonts w:ascii="Cambria Math" w:hAnsi="Cambria Math" w:cs="Times New Roman"/>
                    </w:rPr>
                    <m:t>2</m:t>
                  </m:r>
                </m:sup>
              </m:sSubSup>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c</m:t>
                  </m:r>
                </m:sub>
              </m:sSub>
              <m:r>
                <w:rPr>
                  <w:rFonts w:ascii="Cambria Math" w:hAnsi="Cambria Math" w:cs="Times New Roman"/>
                </w:rPr>
                <m:t xml:space="preserve"> cosθ</m:t>
              </m:r>
            </m:num>
            <m:den>
              <m:sSup>
                <m:sSupPr>
                  <m:ctrlPr>
                    <w:rPr>
                      <w:rFonts w:ascii="Cambria Math" w:hAnsi="Cambria Math" w:cs="Times New Roman"/>
                      <w:i/>
                    </w:rPr>
                  </m:ctrlPr>
                </m:sSupPr>
                <m:e>
                  <m:r>
                    <w:rPr>
                      <w:rFonts w:ascii="Cambria Math" w:hAnsi="Cambria Math" w:cs="Times New Roman"/>
                    </w:rPr>
                    <m:t>ω</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c</m:t>
                          </m:r>
                        </m:sub>
                      </m:sSub>
                      <m:r>
                        <w:rPr>
                          <w:rFonts w:ascii="Cambria Math" w:hAnsi="Cambria Math" w:cs="Times New Roman"/>
                        </w:rPr>
                        <m:t>-ω cosθ</m:t>
                      </m:r>
                    </m:e>
                  </m:d>
                </m:e>
                <m:sup>
                  <m:r>
                    <w:rPr>
                      <w:rFonts w:ascii="Cambria Math" w:hAnsi="Cambria Math" w:cs="Times New Roman"/>
                    </w:rPr>
                    <m:t>2</m:t>
                  </m:r>
                </m:sup>
              </m:sSup>
            </m:den>
          </m:f>
        </m:oMath>
      </m:oMathPara>
    </w:p>
    <w:p w14:paraId="24ED712F" w14:textId="77777777" w:rsidR="0030139C" w:rsidRPr="0030139C" w:rsidRDefault="0030139C" w:rsidP="0030139C">
      <w:pPr>
        <w:rPr>
          <w:rFonts w:ascii="Times New Roman" w:hAnsi="Times New Roman" w:cs="Times New Roman"/>
        </w:rPr>
      </w:pPr>
    </w:p>
    <w:p w14:paraId="7C8FED09" w14:textId="471EC950" w:rsidR="0030139C" w:rsidRDefault="0030139C" w:rsidP="0030139C">
      <w:pPr>
        <w:jc w:val="both"/>
        <w:rPr>
          <w:rFonts w:ascii="Times New Roman" w:hAnsi="Times New Roman" w:cs="Times New Roman"/>
          <w:vertAlign w:val="subscript"/>
        </w:rPr>
      </w:pPr>
      <w:proofErr w:type="gramStart"/>
      <w:r w:rsidRPr="0030139C">
        <w:rPr>
          <w:rFonts w:ascii="Times New Roman" w:hAnsi="Times New Roman" w:cs="Times New Roman"/>
        </w:rPr>
        <w:t>where</w:t>
      </w:r>
      <w:proofErr w:type="gramEnd"/>
      <w:r w:rsidRPr="0030139C">
        <w:rPr>
          <w:rFonts w:ascii="Times New Roman" w:hAnsi="Times New Roman" w:cs="Times New Roman"/>
        </w:rPr>
        <w:t xml:space="preserve"> </w:t>
      </w:r>
      <m:oMath>
        <m:sSub>
          <m:sSubPr>
            <m:ctrlPr>
              <w:rPr>
                <w:rFonts w:ascii="Cambria Math" w:eastAsiaTheme="minorHAnsi" w:hAnsi="Cambria Math" w:cs="Times New Roman"/>
                <w:i/>
              </w:rPr>
            </m:ctrlPr>
          </m:sSubPr>
          <m:e>
            <m:r>
              <w:rPr>
                <w:rFonts w:ascii="Cambria Math" w:hAnsi="Cambria Math" w:cs="Times New Roman"/>
              </w:rPr>
              <m:t>E</m:t>
            </m:r>
          </m:e>
          <m:sub>
            <m:r>
              <w:rPr>
                <w:rFonts w:ascii="Cambria Math" w:hAnsi="Cambria Math" w:cs="Times New Roman"/>
              </w:rPr>
              <m:t>x</m:t>
            </m:r>
          </m:sub>
        </m:sSub>
      </m:oMath>
      <w:r w:rsidRPr="0030139C">
        <w:rPr>
          <w:rFonts w:ascii="Times New Roman" w:hAnsi="Times New Roman" w:cs="Times New Roman"/>
        </w:rPr>
        <w:t xml:space="preserve"> is the magnitude of the wave electric field in </w:t>
      </w:r>
      <w:r w:rsidRPr="0030139C">
        <w:rPr>
          <w:rFonts w:ascii="Times New Roman" w:hAnsi="Times New Roman" w:cs="Times New Roman"/>
          <w:i/>
          <w:iCs/>
        </w:rPr>
        <w:t>(</w:t>
      </w:r>
      <w:r w:rsidRPr="0030139C">
        <w:rPr>
          <w:rFonts w:ascii="Times New Roman" w:hAnsi="Times New Roman" w:cs="Times New Roman"/>
          <w:b/>
          <w:bCs/>
          <w:i/>
          <w:iCs/>
        </w:rPr>
        <w:t>k</w:t>
      </w:r>
      <w:r w:rsidRPr="0030139C">
        <w:rPr>
          <w:rFonts w:ascii="Times New Roman" w:hAnsi="Times New Roman" w:cs="Times New Roman"/>
          <w:i/>
          <w:iCs/>
        </w:rPr>
        <w:t xml:space="preserve">, </w:t>
      </w:r>
      <w:r w:rsidRPr="0030139C">
        <w:rPr>
          <w:rFonts w:ascii="Times New Roman" w:hAnsi="Times New Roman" w:cs="Times New Roman"/>
          <w:b/>
          <w:bCs/>
          <w:i/>
          <w:iCs/>
        </w:rPr>
        <w:t>B</w:t>
      </w:r>
      <w:r w:rsidRPr="0030139C">
        <w:rPr>
          <w:rFonts w:ascii="Times New Roman" w:hAnsi="Times New Roman" w:cs="Times New Roman"/>
          <w:vertAlign w:val="subscript"/>
        </w:rPr>
        <w:t>0</w:t>
      </w:r>
      <w:r w:rsidRPr="0030139C">
        <w:rPr>
          <w:rFonts w:ascii="Times New Roman" w:hAnsi="Times New Roman" w:cs="Times New Roman"/>
          <w:i/>
          <w:iCs/>
        </w:rPr>
        <w:t>)</w:t>
      </w:r>
      <w:r w:rsidRPr="0030139C">
        <w:rPr>
          <w:rFonts w:ascii="Times New Roman" w:hAnsi="Times New Roman" w:cs="Times New Roman"/>
        </w:rPr>
        <w:t xml:space="preserve"> plane perpendicular to </w:t>
      </w:r>
      <w:r w:rsidRPr="0030139C">
        <w:rPr>
          <w:rFonts w:ascii="Times New Roman" w:hAnsi="Times New Roman" w:cs="Times New Roman"/>
          <w:b/>
          <w:bCs/>
          <w:i/>
          <w:iCs/>
        </w:rPr>
        <w:t>B</w:t>
      </w:r>
      <w:r w:rsidRPr="0030139C">
        <w:rPr>
          <w:rFonts w:ascii="Times New Roman" w:hAnsi="Times New Roman" w:cs="Times New Roman"/>
          <w:vertAlign w:val="subscript"/>
        </w:rPr>
        <w:t>0</w:t>
      </w:r>
      <w:r w:rsidRPr="0030139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p</m:t>
            </m:r>
          </m:sub>
        </m:sSub>
        <m:r>
          <w:rPr>
            <w:rFonts w:ascii="Cambria Math" w:hAnsi="Cambria Math" w:cs="Times New Roman"/>
          </w:rPr>
          <m:t xml:space="preserve"> and </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 xml:space="preserve">c </m:t>
            </m:r>
          </m:sub>
        </m:sSub>
      </m:oMath>
      <w:r w:rsidRPr="0030139C">
        <w:rPr>
          <w:rFonts w:ascii="Times New Roman" w:hAnsi="Times New Roman" w:cs="Times New Roman"/>
        </w:rPr>
        <w:t xml:space="preserve">are electron plasma and cyclotron frequencies, respectively, </w:t>
      </w:r>
      <m:oMath>
        <m:r>
          <w:rPr>
            <w:rFonts w:ascii="Cambria Math" w:hAnsi="Cambria Math" w:cs="Times New Roman"/>
          </w:rPr>
          <m:t>ω</m:t>
        </m:r>
      </m:oMath>
      <w:r w:rsidRPr="0030139C">
        <w:rPr>
          <w:rFonts w:ascii="Times New Roman" w:hAnsi="Times New Roman" w:cs="Times New Roman"/>
        </w:rPr>
        <w:t xml:space="preserve"> is the wave frequency, and </w:t>
      </w:r>
      <m:oMath>
        <m:r>
          <w:rPr>
            <w:rFonts w:ascii="Cambria Math" w:hAnsi="Cambria Math" w:cs="Times New Roman"/>
          </w:rPr>
          <m:t>θ</m:t>
        </m:r>
      </m:oMath>
      <w:r w:rsidRPr="0030139C">
        <w:rPr>
          <w:rFonts w:ascii="Times New Roman" w:hAnsi="Times New Roman" w:cs="Times New Roman"/>
        </w:rPr>
        <w:t xml:space="preserve"> is the wave normal angle, i.e., the angle between </w:t>
      </w:r>
      <w:r w:rsidRPr="0030139C">
        <w:rPr>
          <w:rFonts w:ascii="Times New Roman" w:hAnsi="Times New Roman" w:cs="Times New Roman"/>
          <w:b/>
          <w:bCs/>
          <w:i/>
          <w:iCs/>
        </w:rPr>
        <w:t>k</w:t>
      </w:r>
      <w:r w:rsidRPr="0030139C">
        <w:rPr>
          <w:rFonts w:ascii="Times New Roman" w:hAnsi="Times New Roman" w:cs="Times New Roman"/>
          <w:b/>
          <w:bCs/>
        </w:rPr>
        <w:t xml:space="preserve"> </w:t>
      </w:r>
      <w:r w:rsidRPr="0030139C">
        <w:rPr>
          <w:rFonts w:ascii="Times New Roman" w:hAnsi="Times New Roman" w:cs="Times New Roman"/>
        </w:rPr>
        <w:t xml:space="preserve">and </w:t>
      </w:r>
      <w:r w:rsidRPr="0030139C">
        <w:rPr>
          <w:rFonts w:ascii="Times New Roman" w:hAnsi="Times New Roman" w:cs="Times New Roman"/>
          <w:b/>
          <w:bCs/>
          <w:i/>
          <w:iCs/>
        </w:rPr>
        <w:t>B</w:t>
      </w:r>
      <w:r w:rsidRPr="0030139C">
        <w:rPr>
          <w:rFonts w:ascii="Times New Roman" w:hAnsi="Times New Roman" w:cs="Times New Roman"/>
          <w:vertAlign w:val="subscript"/>
        </w:rPr>
        <w:t>0.</w:t>
      </w:r>
    </w:p>
    <w:p w14:paraId="036E01C5" w14:textId="77777777" w:rsidR="00510008" w:rsidRDefault="00510008" w:rsidP="0030139C">
      <w:pPr>
        <w:jc w:val="both"/>
        <w:rPr>
          <w:rFonts w:ascii="Times New Roman" w:hAnsi="Times New Roman" w:cs="Times New Roman"/>
          <w:vertAlign w:val="subscript"/>
        </w:rPr>
      </w:pPr>
    </w:p>
    <w:p w14:paraId="6F190326" w14:textId="0572C808" w:rsidR="0030139C" w:rsidRPr="00510008" w:rsidRDefault="00510008" w:rsidP="00510008">
      <w:pPr>
        <w:jc w:val="both"/>
        <w:rPr>
          <w:rFonts w:ascii="Times New Roman" w:hAnsi="Times New Roman" w:cs="Times New Roman"/>
          <w:color w:val="000000"/>
        </w:rPr>
      </w:pPr>
      <w:r w:rsidRPr="00510008">
        <w:rPr>
          <w:rFonts w:ascii="Times New Roman" w:hAnsi="Times New Roman" w:cs="Times New Roman"/>
          <w:color w:val="000000"/>
        </w:rPr>
        <w:t>The work</w:t>
      </w:r>
      <w:r w:rsidRPr="00510008">
        <w:rPr>
          <w:rFonts w:ascii="Times New Roman" w:hAnsi="Times New Roman" w:cs="Times New Roman"/>
          <w:color w:val="000000"/>
        </w:rPr>
        <w:t xml:space="preserve"> on this report has been supported by </w:t>
      </w:r>
      <w:r w:rsidRPr="00510008">
        <w:rPr>
          <w:rFonts w:ascii="Times New Roman" w:eastAsia="NimbusRomNo9L-Regu" w:hAnsi="Times New Roman" w:cs="Times New Roman"/>
        </w:rPr>
        <w:t>Russian Science Foundation, project # 22-22-00135.</w:t>
      </w:r>
    </w:p>
    <w:p w14:paraId="5AEEF6C9" w14:textId="77777777" w:rsidR="00316654" w:rsidRPr="0030139C" w:rsidRDefault="00316654" w:rsidP="00C20CFF">
      <w:pPr>
        <w:jc w:val="both"/>
        <w:rPr>
          <w:rFonts w:ascii="Times New Roman" w:hAnsi="Times New Roman" w:cs="Times New Roman"/>
          <w:color w:val="000000"/>
        </w:rPr>
      </w:pPr>
      <w:bookmarkStart w:id="0" w:name="_GoBack"/>
      <w:bookmarkEnd w:id="0"/>
    </w:p>
    <w:p w14:paraId="23B4794B" w14:textId="1DE45072" w:rsidR="007D59F6" w:rsidRPr="0030139C" w:rsidRDefault="0037080D" w:rsidP="00C20CFF">
      <w:pPr>
        <w:jc w:val="both"/>
        <w:rPr>
          <w:rFonts w:ascii="Times New Roman" w:hAnsi="Times New Roman" w:cs="Times New Roman"/>
          <w:b/>
          <w:bCs/>
          <w:color w:val="000000"/>
        </w:rPr>
      </w:pPr>
      <w:r w:rsidRPr="0030139C">
        <w:rPr>
          <w:rFonts w:ascii="Times New Roman" w:hAnsi="Times New Roman" w:cs="Times New Roman"/>
          <w:b/>
          <w:bCs/>
          <w:color w:val="000000"/>
        </w:rPr>
        <w:t>References</w:t>
      </w:r>
    </w:p>
    <w:p w14:paraId="1245850C" w14:textId="100DE1C6" w:rsidR="007D59F6" w:rsidRPr="0030139C" w:rsidRDefault="007D59F6" w:rsidP="00C20CFF">
      <w:pPr>
        <w:jc w:val="both"/>
        <w:rPr>
          <w:rFonts w:ascii="Times New Roman" w:hAnsi="Times New Roman" w:cs="Times New Roman"/>
          <w:color w:val="000000"/>
        </w:rPr>
      </w:pPr>
    </w:p>
    <w:p w14:paraId="7F9B162F" w14:textId="1C7E60E7" w:rsidR="007D59F6" w:rsidRPr="0030139C" w:rsidRDefault="007D59F6" w:rsidP="00C20CFF">
      <w:pPr>
        <w:jc w:val="both"/>
        <w:rPr>
          <w:rFonts w:ascii="Times New Roman" w:hAnsi="Times New Roman" w:cs="Times New Roman"/>
          <w:color w:val="000000"/>
        </w:rPr>
      </w:pPr>
      <w:proofErr w:type="spellStart"/>
      <w:r w:rsidRPr="0030139C">
        <w:rPr>
          <w:rFonts w:ascii="Times New Roman" w:hAnsi="Times New Roman" w:cs="Times New Roman"/>
          <w:color w:val="000000"/>
        </w:rPr>
        <w:t>Shafranov</w:t>
      </w:r>
      <w:proofErr w:type="spellEnd"/>
      <w:r w:rsidRPr="0030139C">
        <w:rPr>
          <w:rFonts w:ascii="Times New Roman" w:hAnsi="Times New Roman" w:cs="Times New Roman"/>
          <w:color w:val="000000"/>
        </w:rPr>
        <w:t>, V. D. (1967), In: Reviews of plasma physics, vol 3. Consultant Bureau, New York</w:t>
      </w:r>
      <w:r w:rsidR="00316654" w:rsidRPr="0030139C">
        <w:rPr>
          <w:rFonts w:ascii="Times New Roman" w:hAnsi="Times New Roman" w:cs="Times New Roman"/>
          <w:color w:val="000000"/>
        </w:rPr>
        <w:t>.</w:t>
      </w:r>
    </w:p>
    <w:p w14:paraId="404FC22A" w14:textId="4ED89834" w:rsidR="007D59F6" w:rsidRPr="0030139C" w:rsidRDefault="007D59F6" w:rsidP="00C20CFF">
      <w:pPr>
        <w:jc w:val="both"/>
        <w:rPr>
          <w:rFonts w:ascii="Times New Roman" w:hAnsi="Times New Roman" w:cs="Times New Roman"/>
          <w:color w:val="000000"/>
        </w:rPr>
      </w:pPr>
    </w:p>
    <w:p w14:paraId="6653DFA6" w14:textId="45451C02" w:rsidR="007D59F6" w:rsidRPr="0030139C" w:rsidRDefault="007D59F6" w:rsidP="00C20CFF">
      <w:pPr>
        <w:jc w:val="both"/>
        <w:rPr>
          <w:rFonts w:ascii="Times New Roman" w:hAnsi="Times New Roman" w:cs="Times New Roman"/>
          <w:color w:val="000000"/>
        </w:rPr>
      </w:pPr>
      <w:proofErr w:type="gramStart"/>
      <w:r w:rsidRPr="0030139C">
        <w:rPr>
          <w:rFonts w:ascii="Times New Roman" w:hAnsi="Times New Roman" w:cs="Times New Roman"/>
          <w:color w:val="000000"/>
        </w:rPr>
        <w:t>Trakhtengerts, V. Y., and M. J. Rycroft (2008), Whistler and Alfvén Mode Cyclotron Masers in Space, Cambridge Univ. Press, Cambridge, U.K.</w:t>
      </w:r>
      <w:proofErr w:type="gramEnd"/>
      <w:r w:rsidR="00510008">
        <w:rPr>
          <w:rFonts w:ascii="Times New Roman" w:hAnsi="Times New Roman" w:cs="Times New Roman"/>
          <w:color w:val="000000"/>
        </w:rPr>
        <w:t xml:space="preserve"> </w:t>
      </w:r>
    </w:p>
    <w:sectPr w:rsidR="007D59F6" w:rsidRPr="0030139C" w:rsidSect="00C20CFF">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NimbusRomNo9L-Regu">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AB"/>
    <w:rsid w:val="000E65C3"/>
    <w:rsid w:val="001777C5"/>
    <w:rsid w:val="001B66EE"/>
    <w:rsid w:val="002C74CC"/>
    <w:rsid w:val="0030139C"/>
    <w:rsid w:val="00316654"/>
    <w:rsid w:val="0037080D"/>
    <w:rsid w:val="00510008"/>
    <w:rsid w:val="006A6D0C"/>
    <w:rsid w:val="00736D2F"/>
    <w:rsid w:val="00745952"/>
    <w:rsid w:val="00780FAB"/>
    <w:rsid w:val="007D380B"/>
    <w:rsid w:val="007D59F6"/>
    <w:rsid w:val="0080357E"/>
    <w:rsid w:val="00804A13"/>
    <w:rsid w:val="008870CC"/>
    <w:rsid w:val="008B4AFA"/>
    <w:rsid w:val="00AB1376"/>
    <w:rsid w:val="00B020C3"/>
    <w:rsid w:val="00BF46F3"/>
    <w:rsid w:val="00C20CFF"/>
    <w:rsid w:val="00D62A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18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ru-RU"/>
    </w:rPr>
  </w:style>
  <w:style w:type="character" w:customStyle="1" w:styleId="HTML0">
    <w:name w:val="Стандартный HTML Знак"/>
    <w:basedOn w:val="a0"/>
    <w:link w:val="HTML"/>
    <w:uiPriority w:val="99"/>
    <w:semiHidden/>
    <w:rsid w:val="00780FAB"/>
    <w:rPr>
      <w:rFonts w:ascii="Courier" w:hAnsi="Courier" w:cs="Courier"/>
      <w:sz w:val="20"/>
      <w:szCs w:val="20"/>
    </w:rPr>
  </w:style>
  <w:style w:type="paragraph" w:styleId="a3">
    <w:name w:val="Balloon Text"/>
    <w:basedOn w:val="a"/>
    <w:link w:val="a4"/>
    <w:uiPriority w:val="99"/>
    <w:semiHidden/>
    <w:unhideWhenUsed/>
    <w:rsid w:val="00D62AAD"/>
    <w:rPr>
      <w:rFonts w:ascii="Tahoma" w:hAnsi="Tahoma" w:cs="Tahoma"/>
      <w:sz w:val="16"/>
      <w:szCs w:val="16"/>
    </w:rPr>
  </w:style>
  <w:style w:type="character" w:customStyle="1" w:styleId="a4">
    <w:name w:val="Текст выноски Знак"/>
    <w:basedOn w:val="a0"/>
    <w:link w:val="a3"/>
    <w:uiPriority w:val="99"/>
    <w:semiHidden/>
    <w:rsid w:val="00D62AA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8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ru-RU"/>
    </w:rPr>
  </w:style>
  <w:style w:type="character" w:customStyle="1" w:styleId="HTML0">
    <w:name w:val="Стандартный HTML Знак"/>
    <w:basedOn w:val="a0"/>
    <w:link w:val="HTML"/>
    <w:uiPriority w:val="99"/>
    <w:semiHidden/>
    <w:rsid w:val="00780FAB"/>
    <w:rPr>
      <w:rFonts w:ascii="Courier" w:hAnsi="Courier" w:cs="Courier"/>
      <w:sz w:val="20"/>
      <w:szCs w:val="20"/>
    </w:rPr>
  </w:style>
  <w:style w:type="paragraph" w:styleId="a3">
    <w:name w:val="Balloon Text"/>
    <w:basedOn w:val="a"/>
    <w:link w:val="a4"/>
    <w:uiPriority w:val="99"/>
    <w:semiHidden/>
    <w:unhideWhenUsed/>
    <w:rsid w:val="00D62AAD"/>
    <w:rPr>
      <w:rFonts w:ascii="Tahoma" w:hAnsi="Tahoma" w:cs="Tahoma"/>
      <w:sz w:val="16"/>
      <w:szCs w:val="16"/>
    </w:rPr>
  </w:style>
  <w:style w:type="character" w:customStyle="1" w:styleId="a4">
    <w:name w:val="Текст выноски Знак"/>
    <w:basedOn w:val="a0"/>
    <w:link w:val="a3"/>
    <w:uiPriority w:val="99"/>
    <w:semiHidden/>
    <w:rsid w:val="00D62AA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5880">
      <w:bodyDiv w:val="1"/>
      <w:marLeft w:val="0"/>
      <w:marRight w:val="0"/>
      <w:marTop w:val="0"/>
      <w:marBottom w:val="0"/>
      <w:divBdr>
        <w:top w:val="none" w:sz="0" w:space="0" w:color="auto"/>
        <w:left w:val="none" w:sz="0" w:space="0" w:color="auto"/>
        <w:bottom w:val="none" w:sz="0" w:space="0" w:color="auto"/>
        <w:right w:val="none" w:sz="0" w:space="0" w:color="auto"/>
      </w:divBdr>
    </w:div>
    <w:div w:id="820391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cp:lastModifiedBy>
  <cp:revision>16</cp:revision>
  <cp:lastPrinted>2023-02-28T16:18:00Z</cp:lastPrinted>
  <dcterms:created xsi:type="dcterms:W3CDTF">2016-12-20T20:10:00Z</dcterms:created>
  <dcterms:modified xsi:type="dcterms:W3CDTF">2023-03-03T10:09:00Z</dcterms:modified>
</cp:coreProperties>
</file>