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0C8AC0D" w:rsidP="70C8AC0D" w:rsidRDefault="70C8AC0D" w14:paraId="7C74C041" w14:textId="53CFAD27">
      <w:pPr>
        <w:pStyle w:val="Normal"/>
        <w:ind w:left="1" w:hanging="3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70C8AC0D" w:rsidR="70C8AC0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Особенности динамики ионных пучков в процессе магнитного </w:t>
      </w:r>
      <w:r w:rsidRPr="70C8AC0D" w:rsidR="70C8AC0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пересоединения</w:t>
      </w:r>
    </w:p>
    <w:p w:rsidR="003E1B6F" w:rsidRDefault="003E1B6F" w14:paraId="00000002" w14:textId="77777777">
      <w:pPr>
        <w:ind w:left="0" w:hanging="2"/>
        <w:rPr>
          <w:rFonts w:ascii="Times New Roman" w:hAnsi="Times New Roman" w:eastAsia="Times New Roman" w:cs="Times New Roman"/>
        </w:rPr>
      </w:pPr>
    </w:p>
    <w:p w:rsidR="003E1B6F" w:rsidP="70C8AC0D" w:rsidRDefault="00594FC9" w14:paraId="00000003" w14:textId="329FBB36">
      <w:pPr>
        <w:pStyle w:val="Normal"/>
        <w:spacing w:before="0" w:beforeAutospacing="off" w:after="0" w:afterAutospacing="off"/>
        <w:ind/>
        <w:rPr>
          <w:rFonts w:ascii="Times New Roman" w:hAnsi="Times New Roman" w:eastAsia="Times New Roman" w:cs="Times New Roman"/>
          <w:b w:val="1"/>
          <w:bCs w:val="1"/>
          <w:vertAlign w:val="superscript"/>
        </w:rPr>
      </w:pPr>
      <w:r w:rsidRPr="70C8AC0D" w:rsidR="70C8AC0D">
        <w:rPr>
          <w:rFonts w:ascii="Times New Roman" w:hAnsi="Times New Roman" w:eastAsia="Times New Roman" w:cs="Times New Roman"/>
          <w:b w:val="1"/>
          <w:bCs w:val="1"/>
        </w:rPr>
        <w:t>Д. Чжун</w:t>
      </w:r>
      <w:r w:rsidRPr="70C8AC0D" w:rsidR="70C8AC0D">
        <w:rPr>
          <w:rFonts w:ascii="Times New Roman" w:hAnsi="Times New Roman" w:eastAsia="Times New Roman" w:cs="Times New Roman"/>
          <w:b w:val="1"/>
          <w:bCs w:val="1"/>
          <w:vertAlign w:val="superscript"/>
        </w:rPr>
        <w:t>1</w:t>
      </w:r>
      <w:r w:rsidRPr="70C8AC0D" w:rsidR="70C8AC0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18"/>
          <w:szCs w:val="18"/>
          <w:lang w:val="ru-RU"/>
        </w:rPr>
        <w:t xml:space="preserve"> </w:t>
      </w:r>
      <w:r w:rsidRPr="70C8AC0D" w:rsidR="70C8AC0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ru-RU"/>
        </w:rPr>
        <w:t>(</w:t>
      </w:r>
      <w:r w:rsidRPr="70C8AC0D" w:rsidR="70C8AC0D">
        <w:rPr>
          <w:rFonts w:ascii="Songti SC" w:hAnsi="Songti SC" w:eastAsia="Songti SC" w:cs="Songti SC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ru-RU"/>
        </w:rPr>
        <w:t>钟</w:t>
      </w:r>
      <w:r w:rsidRPr="70C8AC0D" w:rsidR="70C8AC0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ru-RU"/>
        </w:rPr>
        <w:t xml:space="preserve"> </w:t>
      </w:r>
      <w:r w:rsidRPr="70C8AC0D" w:rsidR="70C8AC0D">
        <w:rPr>
          <w:rFonts w:ascii="Songti SC" w:hAnsi="Songti SC" w:eastAsia="Songti SC" w:cs="Songti SC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ru-RU"/>
        </w:rPr>
        <w:t>达华</w:t>
      </w:r>
      <w:r w:rsidRPr="70C8AC0D" w:rsidR="70C8AC0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ru-RU"/>
        </w:rPr>
        <w:t>)</w:t>
      </w:r>
      <w:r w:rsidRPr="70C8AC0D" w:rsidR="70C8AC0D">
        <w:rPr>
          <w:rFonts w:ascii="Times New Roman" w:hAnsi="Times New Roman" w:eastAsia="Times New Roman" w:cs="Times New Roman"/>
          <w:b w:val="1"/>
          <w:bCs w:val="1"/>
        </w:rPr>
        <w:t xml:space="preserve">, А. </w:t>
      </w:r>
      <w:r w:rsidRPr="70C8AC0D" w:rsidR="70C8AC0D">
        <w:rPr>
          <w:rFonts w:ascii="Times New Roman" w:hAnsi="Times New Roman" w:eastAsia="Times New Roman" w:cs="Times New Roman"/>
          <w:b w:val="1"/>
          <w:bCs w:val="1"/>
        </w:rPr>
        <w:t>В.</w:t>
      </w:r>
      <w:r w:rsidRPr="70C8AC0D" w:rsidR="70C8AC0D">
        <w:rPr>
          <w:rFonts w:ascii="Times New Roman" w:hAnsi="Times New Roman" w:eastAsia="Times New Roman" w:cs="Times New Roman"/>
          <w:b w:val="1"/>
          <w:bCs w:val="1"/>
        </w:rPr>
        <w:t xml:space="preserve"> Дивин</w:t>
      </w:r>
      <w:r w:rsidRPr="70C8AC0D" w:rsidR="70C8AC0D">
        <w:rPr>
          <w:rFonts w:ascii="Times New Roman" w:hAnsi="Times New Roman" w:eastAsia="Times New Roman" w:cs="Times New Roman"/>
          <w:b w:val="1"/>
          <w:bCs w:val="1"/>
          <w:vertAlign w:val="superscript"/>
        </w:rPr>
        <w:t>1</w:t>
      </w:r>
      <w:r w:rsidRPr="70C8AC0D" w:rsidR="70C8AC0D">
        <w:rPr>
          <w:rFonts w:ascii="Times New Roman" w:hAnsi="Times New Roman" w:eastAsia="Times New Roman" w:cs="Times New Roman"/>
          <w:b w:val="1"/>
          <w:bCs w:val="1"/>
        </w:rPr>
        <w:t>, И. П. Парамоник</w:t>
      </w:r>
      <w:r w:rsidRPr="70C8AC0D" w:rsidR="70C8AC0D">
        <w:rPr>
          <w:rFonts w:ascii="Times New Roman" w:hAnsi="Times New Roman" w:eastAsia="Times New Roman" w:cs="Times New Roman"/>
          <w:b w:val="1"/>
          <w:bCs w:val="1"/>
          <w:vertAlign w:val="superscript"/>
        </w:rPr>
        <w:t>1</w:t>
      </w:r>
      <w:r w:rsidRPr="70C8AC0D" w:rsidR="70C8AC0D">
        <w:rPr>
          <w:rFonts w:ascii="Times New Roman" w:hAnsi="Times New Roman" w:eastAsia="Times New Roman" w:cs="Times New Roman"/>
          <w:b w:val="1"/>
          <w:bCs w:val="1"/>
        </w:rPr>
        <w:t>, И. В. Кубышкин</w:t>
      </w:r>
      <w:r w:rsidRPr="70C8AC0D" w:rsidR="70C8AC0D">
        <w:rPr>
          <w:rFonts w:ascii="Times New Roman" w:hAnsi="Times New Roman" w:eastAsia="Times New Roman" w:cs="Times New Roman"/>
          <w:b w:val="1"/>
          <w:bCs w:val="1"/>
          <w:vertAlign w:val="superscript"/>
        </w:rPr>
        <w:t>1</w:t>
      </w:r>
      <w:r w:rsidRPr="70C8AC0D" w:rsidR="70C8AC0D">
        <w:rPr>
          <w:rFonts w:ascii="Times New Roman" w:hAnsi="Times New Roman" w:eastAsia="Times New Roman" w:cs="Times New Roman"/>
          <w:b w:val="1"/>
          <w:bCs w:val="1"/>
        </w:rPr>
        <w:t>, В. С. Семенов</w:t>
      </w:r>
      <w:r w:rsidRPr="70C8AC0D" w:rsidR="70C8AC0D">
        <w:rPr>
          <w:rFonts w:ascii="Times New Roman" w:hAnsi="Times New Roman" w:eastAsia="Times New Roman" w:cs="Times New Roman"/>
          <w:b w:val="1"/>
          <w:bCs w:val="1"/>
          <w:vertAlign w:val="superscript"/>
        </w:rPr>
        <w:t>1</w:t>
      </w:r>
    </w:p>
    <w:p w:rsidR="003E1B6F" w:rsidRDefault="003E1B6F" w14:paraId="00000004" w14:textId="77777777">
      <w:pPr>
        <w:ind w:left="0" w:hanging="2"/>
        <w:rPr>
          <w:rFonts w:ascii="Times New Roman" w:hAnsi="Times New Roman" w:eastAsia="Times New Roman" w:cs="Times New Roman"/>
        </w:rPr>
      </w:pPr>
    </w:p>
    <w:p w:rsidR="003E1B6F" w:rsidRDefault="00594FC9" w14:paraId="00000005" w14:textId="77777777">
      <w:pPr>
        <w:ind w:left="0" w:hanging="2"/>
        <w:rPr>
          <w:rFonts w:ascii="Times New Roman" w:hAnsi="Times New Roman" w:eastAsia="Times New Roman" w:cs="Times New Roman"/>
          <w:i/>
        </w:rPr>
      </w:pPr>
      <w:r>
        <w:rPr>
          <w:rFonts w:ascii="Times New Roman" w:hAnsi="Times New Roman" w:eastAsia="Times New Roman" w:cs="Times New Roman"/>
          <w:b/>
          <w:vertAlign w:val="superscript"/>
        </w:rPr>
        <w:t>1</w:t>
      </w:r>
      <w:r>
        <w:rPr>
          <w:rFonts w:ascii="Times New Roman" w:hAnsi="Times New Roman" w:eastAsia="Times New Roman" w:cs="Times New Roman"/>
          <w:i/>
        </w:rPr>
        <w:t xml:space="preserve"> СПбГУ, г. Санкт-Петербург, Россия, zdh97@outlook.com</w:t>
      </w:r>
    </w:p>
    <w:p w:rsidR="003E1B6F" w:rsidRDefault="003E1B6F" w14:paraId="00000006" w14:textId="77777777">
      <w:pPr>
        <w:ind w:left="0" w:hanging="2"/>
        <w:rPr>
          <w:rFonts w:ascii="Times New Roman" w:hAnsi="Times New Roman" w:eastAsia="Times New Roman" w:cs="Times New Roman"/>
        </w:rPr>
      </w:pPr>
    </w:p>
    <w:p w:rsidR="003E1B6F" w:rsidRDefault="00594FC9" w14:paraId="00000007" w14:textId="1A93624C">
      <w:pPr>
        <w:ind w:left="0" w:hanging="2"/>
        <w:jc w:val="both"/>
        <w:rPr>
          <w:rFonts w:ascii="Times New Roman" w:hAnsi="Times New Roman" w:eastAsia="Times New Roman" w:cs="Times New Roman"/>
        </w:rPr>
      </w:pPr>
      <w:r w:rsidRPr="70C8AC0D" w:rsidR="70C8AC0D">
        <w:rPr>
          <w:rFonts w:ascii="Times New Roman" w:hAnsi="Times New Roman" w:eastAsia="Times New Roman" w:cs="Times New Roman"/>
        </w:rPr>
        <w:t xml:space="preserve"> </w:t>
      </w:r>
      <w:r>
        <w:tab/>
      </w:r>
      <w:r w:rsidRPr="70C8AC0D" w:rsidR="70C8AC0D">
        <w:rPr>
          <w:rFonts w:ascii="Times New Roman" w:hAnsi="Times New Roman" w:eastAsia="Times New Roman" w:cs="Times New Roman"/>
        </w:rPr>
        <w:t xml:space="preserve">Магнитное </w:t>
      </w:r>
      <w:r w:rsidRPr="70C8AC0D" w:rsidR="70C8AC0D">
        <w:rPr>
          <w:rFonts w:ascii="Times New Roman" w:hAnsi="Times New Roman" w:eastAsia="Times New Roman" w:cs="Times New Roman"/>
        </w:rPr>
        <w:t>пересоединение</w:t>
      </w:r>
      <w:r w:rsidRPr="70C8AC0D" w:rsidR="70C8AC0D">
        <w:rPr>
          <w:rFonts w:ascii="Times New Roman" w:hAnsi="Times New Roman" w:eastAsia="Times New Roman" w:cs="Times New Roman"/>
        </w:rPr>
        <w:t xml:space="preserve"> в магнитосфере Земли способно быстро преобразовывать накопленную магнитную энергию в кинетическую энергию потоков плазмы. Для численного исследования процесса использован метод "Частица-в-ячейке" в двумерном приближении и особое внимание уделяется кинетике частиц плазмы. Начальным состоянием является плоский слоя Харриса с однородной фоновой компонентой; проведена серия расчетов с фоновой компонентой различной температуры. Подробно изучена структура функций распределения ионов в диффузионной области и области вытекания </w:t>
      </w:r>
      <w:r w:rsidRPr="70C8AC0D" w:rsidR="70C8AC0D">
        <w:rPr>
          <w:rFonts w:ascii="Times New Roman" w:hAnsi="Times New Roman" w:eastAsia="Times New Roman" w:cs="Times New Roman"/>
        </w:rPr>
        <w:t>пересоединения</w:t>
      </w:r>
      <w:r w:rsidRPr="70C8AC0D" w:rsidR="70C8AC0D">
        <w:rPr>
          <w:rFonts w:ascii="Times New Roman" w:hAnsi="Times New Roman" w:eastAsia="Times New Roman" w:cs="Times New Roman"/>
        </w:rPr>
        <w:t xml:space="preserve">. Процессы ускорения частиц приводят к формированию сложных неравновесных функций распределения, состоящих из отдельных пучков частиц. В зависимости от температуры втекающей плазмы кинетическая энергия данных популяций может составлять основную часть тепловой энергии плазмы. Для разделения функции распределения на отдельные пучки был использован метод </w:t>
      </w:r>
      <w:r w:rsidRPr="70C8AC0D" w:rsidR="70C8AC0D">
        <w:rPr>
          <w:rFonts w:ascii="Times New Roman" w:hAnsi="Times New Roman" w:eastAsia="Times New Roman" w:cs="Times New Roman"/>
        </w:rPr>
        <w:t>Gaussian</w:t>
      </w:r>
      <w:r w:rsidRPr="70C8AC0D" w:rsidR="70C8AC0D">
        <w:rPr>
          <w:rFonts w:ascii="Times New Roman" w:hAnsi="Times New Roman" w:eastAsia="Times New Roman" w:cs="Times New Roman"/>
        </w:rPr>
        <w:t xml:space="preserve"> </w:t>
      </w:r>
      <w:r w:rsidRPr="70C8AC0D" w:rsidR="70C8AC0D">
        <w:rPr>
          <w:rFonts w:ascii="Times New Roman" w:hAnsi="Times New Roman" w:eastAsia="Times New Roman" w:cs="Times New Roman"/>
        </w:rPr>
        <w:t>Mixture</w:t>
      </w:r>
      <w:r w:rsidRPr="70C8AC0D" w:rsidR="70C8AC0D">
        <w:rPr>
          <w:rFonts w:ascii="Times New Roman" w:hAnsi="Times New Roman" w:eastAsia="Times New Roman" w:cs="Times New Roman"/>
        </w:rPr>
        <w:t xml:space="preserve"> Model (GMM), который определяет оптимальное количество популяций и их параметры (среднюю скорость, температуры). Выделяется в среднем 5...10 пучков, при этом в диффузионной области основной нагрев представляет собой кинетическую энергию отдельных пучков, а </w:t>
      </w:r>
      <w:r w:rsidRPr="70C8AC0D" w:rsidR="70C8AC0D">
        <w:rPr>
          <w:rFonts w:ascii="Times New Roman" w:hAnsi="Times New Roman" w:eastAsia="Times New Roman" w:cs="Times New Roman"/>
        </w:rPr>
        <w:t>термализация</w:t>
      </w:r>
      <w:r w:rsidRPr="70C8AC0D" w:rsidR="70C8AC0D">
        <w:rPr>
          <w:rFonts w:ascii="Times New Roman" w:hAnsi="Times New Roman" w:eastAsia="Times New Roman" w:cs="Times New Roman"/>
        </w:rPr>
        <w:t xml:space="preserve"> происходит уже в области вытекания.</w:t>
      </w:r>
    </w:p>
    <w:p w:rsidR="003E1B6F" w:rsidRDefault="003E1B6F" w14:paraId="00000008" w14:textId="77777777">
      <w:pPr>
        <w:ind w:left="0" w:hanging="2"/>
        <w:jc w:val="both"/>
        <w:rPr>
          <w:rFonts w:ascii="Times New Roman" w:hAnsi="Times New Roman" w:eastAsia="Times New Roman" w:cs="Times New Roman"/>
        </w:rPr>
      </w:pPr>
    </w:p>
    <w:p w:rsidR="003E1B6F" w:rsidRDefault="00594FC9" w14:paraId="00000009" w14:textId="77777777">
      <w:pPr>
        <w:ind w:left="0" w:hanging="2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Работа выполнена при поддержке гранта 23-47-00084 российского научного фонда.</w:t>
      </w:r>
    </w:p>
    <w:sectPr w:rsidR="003E1B6F">
      <w:pgSz w:w="11906" w:h="16838" w:orient="portrait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B6F"/>
    <w:rsid w:val="003E1B6F"/>
    <w:rsid w:val="00594FC9"/>
    <w:rsid w:val="70C8A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7CD880"/>
  <w15:docId w15:val="{43DE411A-7772-4E00-964A-A163136F67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Liberation Serif" w:hAnsi="Liberation Serif" w:eastAsia="Liberation Serif" w:cs="Liberation Serif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eastAsia="NSimSun" w:cs="Lucida Sans"/>
      <w:kern w:val="2"/>
      <w:position w:val="-1"/>
      <w:lang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-" w:customStyle="1">
    <w:name w:val="Интернет-ссылка"/>
    <w:rPr>
      <w:color w:val="0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a" w:customStyle="1">
    <w:name w:val="Заголовок"/>
    <w:basedOn w:val="Normal"/>
    <w:next w:val="a0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a0" w:customStyle="1">
    <w:name w:val="Основной текст"/>
    <w:basedOn w:val="Normal"/>
    <w:pPr>
      <w:spacing w:after="140" w:line="276" w:lineRule="auto"/>
    </w:pPr>
  </w:style>
  <w:style w:type="paragraph" w:styleId="a1" w:customStyle="1">
    <w:name w:val="Список"/>
    <w:basedOn w:val="a0"/>
  </w:style>
  <w:style w:type="paragraph" w:styleId="a2" w:customStyle="1">
    <w:name w:val="Название"/>
    <w:basedOn w:val="Normal"/>
    <w:pPr>
      <w:suppressLineNumbers/>
      <w:spacing w:before="120" w:after="120"/>
    </w:pPr>
    <w:rPr>
      <w:i/>
      <w:iCs/>
    </w:rPr>
  </w:style>
  <w:style w:type="paragraph" w:styleId="a3" w:customStyle="1">
    <w:name w:val="Указатель"/>
    <w:basedOn w:val="Normal"/>
    <w:pPr>
      <w:suppressLineNumbers/>
    </w:pPr>
    <w:rPr>
      <w:lang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pAkVNeQR2goLehNmk1NavogvdQ==">AMUW2mW1UD1zF7BewOklBgs6qaiOK98q4yBNC57iHL8KPJMOhzBqSjFfRELZor5wZMusJhPJUHWliByUu3KEU5FvmZv8Jt3r8FUAAmvHKAzSzy2lfXq8bYk=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Andrey Divin</lastModifiedBy>
  <revision>2</revision>
  <dcterms:created xsi:type="dcterms:W3CDTF">2024-02-11T19:09:00.0000000Z</dcterms:created>
  <dcterms:modified xsi:type="dcterms:W3CDTF">2024-02-11T23:47:37.9439230Z</dcterms:modified>
</coreProperties>
</file>