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A"/>
        <w:rPr>
          <w:b/>
          <w:bCs/>
        </w:rPr>
      </w:pPr>
      <w:r>
        <w:rPr>
          <w:b/>
          <w:bCs/>
          <w:lang w:val="en-US"/>
        </w:rPr>
        <w:t>Spatial distribution of the turbulent diffusion coefficient in the cross section of the plasma sheet of the Earth's magnetotail by MMS data</w:t>
      </w:r>
    </w:p>
    <w:p>
      <w:pPr>
        <w:pStyle w:val="BodyB"/>
        <w:rPr/>
      </w:pPr>
      <w:r>
        <w:rPr/>
      </w:r>
    </w:p>
    <w:p>
      <w:pPr>
        <w:pStyle w:val="BodyB"/>
        <w:rPr/>
      </w:pPr>
      <w:r>
        <w:rPr>
          <w:lang w:val="en-US"/>
        </w:rPr>
        <w:t>D.Yu.</w:t>
      </w:r>
      <w:r>
        <w:rPr>
          <w:lang w:val="fr-FR"/>
        </w:rPr>
        <w:t> </w:t>
      </w:r>
      <w:r>
        <w:rPr>
          <w:lang w:val="en-US"/>
        </w:rPr>
        <w:t>Naiko,</w:t>
      </w:r>
      <w:r>
        <w:rPr>
          <w:vertAlign w:val="superscript"/>
          <w:lang w:val="en-US"/>
        </w:rPr>
        <w:t xml:space="preserve">1,2  </w:t>
      </w:r>
      <w:r>
        <w:rPr>
          <w:lang w:val="en-US"/>
        </w:rPr>
        <w:t>I.L.</w:t>
      </w:r>
      <w:r>
        <w:rPr>
          <w:lang w:val="fr-FR"/>
        </w:rPr>
        <w:t> </w:t>
      </w:r>
      <w:r>
        <w:rPr>
          <w:lang w:val="en-US"/>
        </w:rPr>
        <w:t>Ovchinnikov,</w:t>
      </w:r>
      <w:r>
        <w:rPr>
          <w:vertAlign w:val="superscript"/>
          <w:lang w:val="en-US"/>
        </w:rPr>
        <w:t>1</w:t>
      </w:r>
      <w:r>
        <w:rPr>
          <w:position w:val="0"/>
          <w:sz w:val="24"/>
          <w:vertAlign w:val="baseline"/>
          <w:lang w:val="en-US"/>
        </w:rPr>
        <w:t xml:space="preserve"> </w:t>
      </w:r>
      <w:r>
        <w:rPr>
          <w:lang w:val="en-US"/>
        </w:rPr>
        <w:t>E.E.</w:t>
      </w:r>
      <w:r>
        <w:rPr>
          <w:lang w:val="fr-FR"/>
        </w:rPr>
        <w:t> </w:t>
      </w:r>
      <w:r>
        <w:rPr>
          <w:lang w:val="en-US"/>
        </w:rPr>
        <w:t>Antonova</w:t>
      </w:r>
      <w:r>
        <w:rPr>
          <w:vertAlign w:val="superscript"/>
          <w:lang w:val="en-US"/>
        </w:rPr>
        <w:t>1,3</w:t>
      </w:r>
    </w:p>
    <w:p>
      <w:pPr>
        <w:pStyle w:val="BodyB"/>
        <w:rPr>
          <w:i/>
          <w:i/>
          <w:iCs/>
        </w:rPr>
      </w:pPr>
      <w:r>
        <w:rPr>
          <w:i/>
          <w:iCs/>
        </w:rPr>
      </w:r>
    </w:p>
    <w:p>
      <w:pPr>
        <w:pStyle w:val="BodyB"/>
        <w:rPr>
          <w:i/>
          <w:i/>
          <w:iCs/>
        </w:rPr>
      </w:pPr>
      <w:r>
        <w:rPr>
          <w:rFonts w:eastAsia="Arial Unicode MS" w:cs="Arial Unicode MS"/>
          <w:i/>
          <w:iCs/>
          <w:lang w:val="en-US"/>
        </w:rPr>
        <w:t>1. Skobeltsyn Institute of Nuclear Physics of Lomonosov Moscow State University, Moscow, Russia</w:t>
      </w:r>
    </w:p>
    <w:p>
      <w:pPr>
        <w:pStyle w:val="BodyB"/>
        <w:rPr>
          <w:i/>
          <w:i/>
          <w:iCs/>
        </w:rPr>
      </w:pPr>
      <w:r>
        <w:rPr>
          <w:rFonts w:eastAsia="Arial Unicode MS" w:cs="Arial Unicode MS"/>
          <w:i/>
          <w:iCs/>
          <w:lang w:val="en-US"/>
        </w:rPr>
        <w:t>2. Physics Faculty of Lomonosov Moscow State University, Moscow, Russia</w:t>
      </w:r>
    </w:p>
    <w:p>
      <w:pPr>
        <w:pStyle w:val="BodyB"/>
        <w:rPr>
          <w:i/>
          <w:i/>
          <w:iCs/>
        </w:rPr>
      </w:pPr>
      <w:r>
        <w:rPr>
          <w:rFonts w:eastAsia="Arial Unicode MS" w:cs="Arial Unicode MS"/>
          <w:i/>
          <w:iCs/>
          <w:lang w:val="en-US"/>
        </w:rPr>
        <w:t>3. Space Research Institute, Russian Academy of Sciences, Moscow, Russia</w:t>
      </w:r>
    </w:p>
    <w:p>
      <w:pPr>
        <w:pStyle w:val="BodyB"/>
        <w:rPr/>
      </w:pPr>
      <w:r>
        <w:rPr/>
      </w:r>
    </w:p>
    <w:p>
      <w:pPr>
        <w:pStyle w:val="BodyB"/>
        <w:rPr/>
      </w:pPr>
      <w:r>
        <w:rPr>
          <w:lang w:val="en-US"/>
        </w:rPr>
        <w:t xml:space="preserve">A preliminary analysis of dependence of the </w:t>
      </w:r>
      <w:r>
        <w:rPr>
          <w:u w:val="none" w:color="0000FF"/>
          <w:lang w:val="en-US"/>
        </w:rPr>
        <w:t>eddy</w:t>
      </w:r>
      <w:r>
        <w:rPr>
          <w:lang w:val="en-US"/>
        </w:rPr>
        <w:t xml:space="preserve"> diffusion coefficient </w:t>
      </w:r>
      <w:r>
        <w:rPr>
          <w:lang w:val="en-US"/>
        </w:rPr>
        <w:t>on</w:t>
      </w:r>
      <w:r>
        <w:rPr>
          <w:lang w:val="en-US"/>
        </w:rPr>
        <w:t xml:space="preserve"> the plasma parameter </w:t>
      </w:r>
      <w:r>
        <w:rPr>
          <w:i/>
          <w:iCs/>
          <w:lang w:val="en-US"/>
        </w:rPr>
        <w:t>β</w:t>
      </w:r>
      <w:r>
        <w:rPr>
          <w:lang w:val="en-US"/>
        </w:rPr>
        <w:t xml:space="preserve">, the distance to the Earth, and the direction of the interplanetary magnetic field </w:t>
      </w:r>
      <w:r>
        <w:rPr>
          <w:lang w:val="en-US"/>
        </w:rPr>
        <w:t xml:space="preserve">has been carried out. </w:t>
      </w:r>
      <w:r>
        <w:rPr>
          <w:lang w:val="en-US"/>
        </w:rPr>
        <w:t xml:space="preserve"> Publicly available Magnetospheric Multiscale Mission (MMS) data were used: hydrodynamic velocity with a time resolution of 1/4.5 s</w:t>
      </w:r>
      <w:r>
        <w:rPr>
          <w:vertAlign w:val="superscript"/>
          <w:lang w:val="ru-RU"/>
        </w:rPr>
        <w:t>-1</w:t>
      </w:r>
      <w:r>
        <w:rPr>
          <w:lang w:val="en-US"/>
        </w:rPr>
        <w:t xml:space="preserve"> as measured by FPI/DIS instruments and the magnetic field with a time resolution of 16 s</w:t>
      </w:r>
      <w:r>
        <w:rPr>
          <w:vertAlign w:val="superscript"/>
          <w:lang w:val="ru-RU"/>
        </w:rPr>
        <w:t>-1</w:t>
      </w:r>
      <w:r>
        <w:rPr>
          <w:lang w:val="en-US"/>
        </w:rPr>
        <w:t xml:space="preserve"> by FGM instrument. Since the position of the plasma </w:t>
      </w:r>
      <w:r>
        <w:rPr>
          <w:lang w:val="en-US"/>
        </w:rPr>
        <w:t>sheet</w:t>
      </w:r>
      <w:r>
        <w:rPr>
          <w:lang w:val="en-US"/>
        </w:rPr>
        <w:t xml:space="preserve"> is </w:t>
      </w:r>
      <w:r>
        <w:rPr>
          <w:lang w:val="en-US"/>
        </w:rPr>
        <w:t>variable</w:t>
      </w:r>
      <w:r>
        <w:rPr>
          <w:lang w:val="en-US"/>
        </w:rPr>
        <w:t xml:space="preserve">, it is impossible to determine the position of the satellite in the cross section of the </w:t>
      </w:r>
      <w:r>
        <w:rPr>
          <w:lang w:val="en-US"/>
        </w:rPr>
        <w:t>plasma sheet</w:t>
      </w:r>
      <w:r>
        <w:rPr>
          <w:lang w:val="en-US"/>
        </w:rPr>
        <w:t xml:space="preserve"> </w:t>
      </w:r>
      <w:r>
        <w:rPr>
          <w:lang w:val="en-US"/>
        </w:rPr>
        <w:t xml:space="preserve">directly </w:t>
      </w:r>
      <w:r>
        <w:rPr>
          <w:lang w:val="en-US"/>
        </w:rPr>
        <w:t xml:space="preserve">from </w:t>
      </w:r>
      <w:r>
        <w:rPr>
          <w:lang w:val="en-US"/>
        </w:rPr>
        <w:t xml:space="preserve">its </w:t>
      </w:r>
      <w:r>
        <w:rPr>
          <w:lang w:val="en-US"/>
        </w:rPr>
        <w:t xml:space="preserve">coordinates. Therefore, the plasma parameter </w:t>
      </w:r>
      <w:r>
        <w:rPr>
          <w:i/>
          <w:iCs/>
          <w:lang w:val="en-US"/>
        </w:rPr>
        <w:t>β</w:t>
      </w:r>
      <w:r>
        <w:rPr>
          <w:lang w:val="en-US"/>
        </w:rPr>
        <w:t xml:space="preserve"> is used as an indicator of the satellite's location in the plasma layer, tail lobes, or in the transition layer between them: </w:t>
      </w:r>
      <w:r>
        <w:rPr>
          <w:rFonts w:eastAsia="Arial Unicode MS" w:cs="Arial Unicode MS"/>
          <w:i/>
          <w:iCs/>
          <w:lang w:val="en-US"/>
        </w:rPr>
        <w:t>β</w:t>
      </w:r>
      <w:r>
        <w:rPr>
          <w:rFonts w:eastAsia="Arial Unicode MS" w:cs="Arial Unicode MS"/>
          <w:i w:val="false"/>
          <w:iCs w:val="false"/>
          <w:lang w:val="en-US"/>
        </w:rPr>
        <w:t> &gt; </w:t>
      </w:r>
      <w:r>
        <w:rPr>
          <w:rFonts w:eastAsia="Arial Unicode MS" w:cs="Arial Unicode MS"/>
          <w:i w:val="false"/>
          <w:iCs w:val="false"/>
          <w:lang w:val="en-US"/>
        </w:rPr>
        <w:t>1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  <w:lang w:val="en-US"/>
        </w:rPr>
        <w:t xml:space="preserve">inside the plasma sheet, </w:t>
      </w:r>
      <w:r>
        <w:rPr>
          <w:rFonts w:eastAsia="Arial Unicode MS" w:cs="Arial Unicode MS"/>
          <w:i w:val="false"/>
          <w:iCs w:val="false"/>
          <w:u w:val="none" w:color="0000FF"/>
          <w:lang w:val="en-US"/>
        </w:rPr>
        <w:t>0.1 </w:t>
      </w:r>
      <w:r>
        <w:rPr>
          <w:rFonts w:eastAsia="Arial Unicode MS" w:cs="Arial Unicode MS"/>
          <w:i w:val="false"/>
          <w:iCs w:val="false"/>
          <w:lang w:val="en-US"/>
        </w:rPr>
        <w:t>&lt; </w:t>
      </w:r>
      <w:r>
        <w:rPr>
          <w:rFonts w:eastAsia="Arial Unicode MS" w:cs="Arial Unicode MS"/>
          <w:i/>
          <w:iCs/>
          <w:lang w:val="en-US"/>
        </w:rPr>
        <w:t>β</w:t>
      </w:r>
      <w:r>
        <w:rPr>
          <w:rFonts w:eastAsia="Arial Unicode MS" w:cs="Arial Unicode MS"/>
          <w:i w:val="false"/>
          <w:iCs w:val="false"/>
          <w:lang w:val="en-US"/>
        </w:rPr>
        <w:t> &lt; 1</w:t>
      </w:r>
      <w:r>
        <w:rPr>
          <w:rFonts w:eastAsia="Arial Unicode MS" w:cs="Arial Unicode MS"/>
          <w:lang w:val="en-US"/>
        </w:rPr>
        <w:t xml:space="preserve"> in the transition layer. </w:t>
      </w:r>
      <w:r>
        <w:rPr>
          <w:rFonts w:eastAsia="Arial Unicode MS" w:cs="Arial Unicode MS"/>
          <w:lang w:val="en-US"/>
        </w:rPr>
        <w:t>It was found that th</w:t>
      </w:r>
      <w:r>
        <w:rPr>
          <w:rFonts w:eastAsia="Arial Unicode MS" w:cs="Arial Unicode MS"/>
        </w:rPr>
        <w:t xml:space="preserve">e </w:t>
      </w:r>
      <w:r>
        <w:rPr>
          <w:rFonts w:eastAsia="Arial Unicode MS" w:cs="Arial Unicode MS"/>
          <w:u w:val="none" w:color="0000FF"/>
          <w:lang w:val="en-US"/>
        </w:rPr>
        <w:t>eddy</w:t>
      </w:r>
      <w:r>
        <w:rPr>
          <w:rFonts w:eastAsia="Arial Unicode MS" w:cs="Arial Unicode MS"/>
        </w:rPr>
        <w:t xml:space="preserve"> diffusion coefficient increases </w:t>
      </w:r>
      <w:r>
        <w:rPr>
          <w:rFonts w:eastAsia="Arial Unicode MS" w:cs="Arial Unicode MS"/>
        </w:rPr>
        <w:t xml:space="preserve">with increasing </w:t>
      </w:r>
      <w:r>
        <w:rPr>
          <w:rFonts w:eastAsia="Arial Unicode MS" w:cs="Arial Unicode MS"/>
        </w:rPr>
        <w:t>the plasma parameter</w:t>
      </w:r>
      <w:r>
        <w:rPr>
          <w:rFonts w:eastAsia="Arial Unicode MS" w:cs="Arial Unicode MS"/>
          <w:i w:val="false"/>
          <w:iCs w:val="false"/>
          <w:lang w:val="en-US"/>
        </w:rPr>
        <w:t xml:space="preserve"> for </w:t>
      </w:r>
      <w:r>
        <w:rPr>
          <w:rFonts w:eastAsia="Arial Unicode MS" w:cs="Arial Unicode MS"/>
          <w:i/>
          <w:iCs/>
          <w:lang w:val="en-US"/>
        </w:rPr>
        <w:t>β</w:t>
      </w:r>
      <w:r>
        <w:rPr>
          <w:rFonts w:eastAsia="Arial Unicode MS" w:cs="Arial Unicode MS"/>
          <w:i w:val="false"/>
          <w:iCs w:val="false"/>
          <w:lang w:val="en-US"/>
        </w:rPr>
        <w:t> &lt; 1</w:t>
      </w:r>
      <w:r>
        <w:rPr>
          <w:rFonts w:eastAsia="Arial Unicode MS" w:cs="Arial Unicode MS"/>
        </w:rPr>
        <w:t xml:space="preserve">, and remains </w:t>
      </w:r>
      <w:r>
        <w:rPr>
          <w:rFonts w:eastAsia="Arial Unicode MS" w:cs="Arial Unicode MS"/>
          <w:lang w:val="en-US"/>
        </w:rPr>
        <w:t xml:space="preserve">constant for  </w:t>
      </w:r>
      <w:r>
        <w:rPr>
          <w:rFonts w:eastAsia="Arial Unicode MS" w:cs="Arial Unicode MS"/>
          <w:i/>
          <w:iCs/>
          <w:lang w:val="en-US"/>
        </w:rPr>
        <w:t>β</w:t>
      </w:r>
      <w:r>
        <w:rPr>
          <w:rFonts w:eastAsia="Arial Unicode MS" w:cs="Arial Unicode MS"/>
          <w:i w:val="false"/>
          <w:iCs w:val="false"/>
          <w:lang w:val="en-US"/>
        </w:rPr>
        <w:t> &gt; </w:t>
      </w:r>
      <w:r>
        <w:rPr>
          <w:rFonts w:eastAsia="Arial Unicode MS" w:cs="Arial Unicode MS"/>
          <w:i w:val="false"/>
          <w:iCs w:val="false"/>
          <w:lang w:val="en-US"/>
        </w:rPr>
        <w:t>1</w:t>
      </w:r>
      <w:r>
        <w:rPr>
          <w:rFonts w:eastAsia="Arial Unicode MS" w:cs="Arial Unicode MS"/>
          <w:lang w:val="en-US"/>
        </w:rPr>
        <w:t xml:space="preserve">. </w:t>
      </w:r>
      <w:r>
        <w:rPr>
          <w:rFonts w:eastAsia="Arial Unicode MS" w:cs="Arial Unicode MS"/>
          <w:lang w:val="en-US"/>
        </w:rPr>
        <w:t>The dependence of the distribution of the diffusion coefficient on the direction of the interplanetary magnetic field was also investigated.</w:t>
      </w:r>
    </w:p>
    <w:p>
      <w:pPr>
        <w:pStyle w:val="BodyB"/>
        <w:rPr/>
      </w:pPr>
      <w:r>
        <w:rPr/>
      </w:r>
    </w:p>
    <w:p>
      <w:pPr>
        <w:pStyle w:val="BodyB"/>
        <w:rPr/>
      </w:pPr>
      <w:r>
        <w:rPr>
          <w:rFonts w:eastAsia="Arial Unicode MS" w:cs="Arial Unicode MS"/>
          <w:lang w:val="en-US"/>
        </w:rPr>
        <w:t>The study was supported by the Russian Science Foundation grant No. 23-22-00076.</w:t>
      </w:r>
    </w:p>
    <w:p>
      <w:pPr>
        <w:pStyle w:val="BodyB"/>
        <w:rPr/>
      </w:pPr>
      <w:r>
        <w:rPr>
          <w:lang w:val="en-US"/>
        </w:rPr>
        <w:t>D.Yu.</w:t>
      </w:r>
      <w:r>
        <w:rPr>
          <w:lang w:val="fr-FR"/>
        </w:rPr>
        <w:t> </w:t>
      </w:r>
      <w:r>
        <w:rPr>
          <w:lang w:val="en-US"/>
        </w:rPr>
        <w:t xml:space="preserve">Naiko is </w:t>
      </w:r>
      <w:r>
        <w:rPr>
          <w:outline w:val="false"/>
          <w:color w:val="000000"/>
          <w:u w:val="none" w:color="000000"/>
          <w:shd w:fill="auto" w:val="clear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schol</w:t>
      </w:r>
      <w:r>
        <w:rPr>
          <w:b w:val="false"/>
          <w:bCs w:val="false"/>
          <w:outline w:val="false"/>
          <w:color w:val="000000"/>
          <w:u w:val="none" w:color="000000"/>
          <w:shd w:fill="auto" w:val="clear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arship holder of</w:t>
      </w:r>
      <w:r>
        <w:rPr>
          <w:b w:val="false"/>
          <w:bCs w:val="false"/>
          <w:lang w:val="en-US"/>
        </w:rPr>
        <w:t xml:space="preserve"> the </w:t>
      </w:r>
      <w:r>
        <w:rPr>
          <w:rStyle w:val="Strong"/>
          <w:b w:val="false"/>
          <w:bCs w:val="false"/>
          <w:lang w:val="en-US"/>
        </w:rPr>
        <w:t>Theoretical Physics and Mathematics Advancement Foundation “BASIS”.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fa-IR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Hyperlink">
    <w:name w:val="Hyperlink"/>
    <w:rPr>
      <w:u w:val="single" w:color="FFFFFF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ejaVu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fa-IR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A">
    <w:name w:val="Body A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fa-I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B">
    <w:name w:val="Body B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fa-I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16">
    <w:name w:val="Колонтитул"/>
    <w:basedOn w:val="Normal"/>
    <w:qFormat/>
    <w:pPr/>
    <w:rPr/>
  </w:style>
  <w:style w:type="paragraph" w:styleId="Header">
    <w:name w:val="Header"/>
    <w:basedOn w:val="Style16"/>
    <w:pPr/>
    <w:rPr/>
  </w:style>
  <w:style w:type="paragraph" w:styleId="Footer">
    <w:name w:val="Footer"/>
    <w:basedOn w:val="Style16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ff"/>
      </a:hlink>
      <a:folHlink>
        <a:srgbClr val="ff00ff"/>
      </a:folHlink>
    </a:clrScheme>
    <a:fontScheme name="Offic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LibreOffice/24.2.0.3$Linux_X86_64 LibreOffice_project/420$Build-3</Application>
  <AppVersion>15.0000</AppVersion>
  <Pages>1</Pages>
  <Words>276</Words>
  <Characters>1486</Characters>
  <CharactersWithSpaces>1757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Илья Львович Овчинников</cp:lastModifiedBy>
  <dcterms:modified xsi:type="dcterms:W3CDTF">2024-02-11T16:35:25Z</dcterms:modified>
  <cp:revision>2</cp:revision>
  <dc:subject/>
  <dc:title/>
</cp:coreProperties>
</file>