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Изучение азимутального движения частиц разных сортов и магнитных полей в численном моделировании диамагнитной каверны.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Парамоник И.П.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1</w:t>
      </w:r>
      <w:r w:rsidDel="00000000" w:rsidR="00000000" w:rsidRPr="00000000">
        <w:rPr>
          <w:sz w:val="24"/>
          <w:szCs w:val="24"/>
          <w:rtl w:val="0"/>
        </w:rPr>
        <w:t xml:space="preserve">, Дивин А.В.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1</w:t>
      </w:r>
      <w:r w:rsidDel="00000000" w:rsidR="00000000" w:rsidRPr="00000000">
        <w:rPr>
          <w:sz w:val="24"/>
          <w:szCs w:val="24"/>
          <w:rtl w:val="0"/>
        </w:rPr>
        <w:t xml:space="preserve">, Чибранов А.А.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2</w:t>
      </w:r>
      <w:r w:rsidDel="00000000" w:rsidR="00000000" w:rsidRPr="00000000">
        <w:rPr>
          <w:sz w:val="24"/>
          <w:szCs w:val="24"/>
          <w:rtl w:val="0"/>
        </w:rPr>
        <w:t xml:space="preserve">, Руменских М.С.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2</w:t>
      </w:r>
      <w:r w:rsidDel="00000000" w:rsidR="00000000" w:rsidRPr="00000000">
        <w:rPr>
          <w:sz w:val="24"/>
          <w:szCs w:val="24"/>
          <w:rtl w:val="0"/>
        </w:rPr>
        <w:t xml:space="preserve">, Шайхисламов И.Ф.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2</w:t>
      </w:r>
      <w:r w:rsidDel="00000000" w:rsidR="00000000" w:rsidRPr="00000000">
        <w:rPr>
          <w:sz w:val="24"/>
          <w:szCs w:val="24"/>
          <w:rtl w:val="0"/>
        </w:rPr>
        <w:t xml:space="preserve">, Семенов В.С.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 </w:t>
        <w:br w:type="textWrapping"/>
        <w:br w:type="textWrapping"/>
        <w:t xml:space="preserve">1 </w:t>
      </w:r>
      <w:r w:rsidDel="00000000" w:rsidR="00000000" w:rsidRPr="00000000">
        <w:rPr>
          <w:i w:val="1"/>
          <w:sz w:val="24"/>
          <w:szCs w:val="24"/>
          <w:rtl w:val="0"/>
        </w:rPr>
        <w:t xml:space="preserve">СПбГУ, г. Санкт-Петербург, Россия, 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igorparamonik@gmail.com</w:t>
        </w:r>
      </w:hyperlink>
      <w:r w:rsidDel="00000000" w:rsidR="00000000" w:rsidRPr="00000000">
        <w:rPr>
          <w:sz w:val="24"/>
          <w:szCs w:val="24"/>
          <w:vertAlign w:val="superscript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i w:val="1"/>
          <w:sz w:val="24"/>
          <w:szCs w:val="24"/>
          <w:rtl w:val="0"/>
        </w:rPr>
        <w:t xml:space="preserve">ИЛФ СО РАН, г. Новосибирск, Россия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Исследования диамагнитной полости, полученной в результате расширения плазменного облака во внешнем магнитном поле, вдохновлены рядом активных экспериментов в магнитосфере Земли (AMPTE, CRRES) и в установках с лазерной плазмой (стенд КИ-1, ИЛФ СО РАН) [1]. Несмотря на то, что такие объекты уже изучаются несколько десятилетий, остается открытыми ряд вопросов, связанных с физикой этого явления. Например, не до конца ясно влияние эффекта Холла на динамику плазмы, аномально быстрый коллапс каверны и формировании желобков, наблюдаемых при разлете облака [2].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Проведенное нами кинетическое моделирование диамагнитной каверны, близкой по параметрам плазмы с экспериментами на установке КИ-1, с помощью параллельного кинетического кода iPIC3D показало качественное соответствие с наблюдаемыми эффектами. Одним из таких эффектов является азимутальное движение плазмы облака в слабом замагниченном фоне, где экспериментально было показано, что частицы разных сортов (протоны, электроны, ионы углерода и фон) двигаются отличным друг от друга образом. Нами предпринята попытка объяснить наблюдаемые эффекты разного направления частиц с помощью полученных 2D и 3D численных моделей диамагнитной полости с разными параметрами плазмы. Кроме того, мы представляем результаты трассирования частиц в электромагнитных полях, создаваемых диамагнитной каверной.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изучения азимутальных магнитных полей, связанных с холловским членом закона Ома, мы представляем обновленную версию разработанного нами конвективного солвера для трассирования магнитного поля (CEMF Solv).  </w:t>
      </w:r>
    </w:p>
    <w:p w:rsidR="00000000" w:rsidDel="00000000" w:rsidP="00000000" w:rsidRDefault="00000000" w:rsidRPr="00000000" w14:paraId="0000000A">
      <w:pPr>
        <w:widowControl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Winske, D., Huba, J. D., Niemann, C., &amp; Le, A. 2019 Frontiers in Astronomy and Space Sciences, 51(5) 1-14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Zakharov Y. P. et al. // Quantum Electronics. – 2022. – Т. 52. – №. 2. – С. 155.</w:t>
      </w:r>
    </w:p>
    <w:p w:rsidR="00000000" w:rsidDel="00000000" w:rsidP="00000000" w:rsidRDefault="00000000" w:rsidRPr="00000000" w14:paraId="0000000E">
      <w:pPr>
        <w:widowControl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gorparamo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